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F331" w14:textId="00F3BEE7" w:rsidR="006A4CFF" w:rsidRDefault="006A4CFF" w:rsidP="00CC61CB">
      <w:pPr>
        <w:jc w:val="center"/>
      </w:pPr>
      <w:r>
        <w:rPr>
          <w:rFonts w:hint="eastAsia"/>
        </w:rPr>
        <w:t>ジャマイカ政治・経済月間情勢（</w:t>
      </w:r>
      <w:r w:rsidR="002C4F54">
        <w:rPr>
          <w:rFonts w:hint="eastAsia"/>
        </w:rPr>
        <w:t>８</w:t>
      </w:r>
      <w:r>
        <w:rPr>
          <w:rFonts w:hint="eastAsia"/>
        </w:rPr>
        <w:t>月）</w:t>
      </w:r>
    </w:p>
    <w:p w14:paraId="77B87BEF" w14:textId="77777777" w:rsidR="006A4CFF" w:rsidRDefault="006A4CFF" w:rsidP="006A4CFF">
      <w:pPr>
        <w:jc w:val="center"/>
      </w:pPr>
    </w:p>
    <w:p w14:paraId="03998746" w14:textId="77777777" w:rsidR="00B27FAD" w:rsidRDefault="006A4CFF" w:rsidP="00B27FAD">
      <w:pPr>
        <w:jc w:val="left"/>
      </w:pPr>
      <w:r>
        <w:rPr>
          <w:rFonts w:hint="eastAsia"/>
        </w:rPr>
        <w:t>【要旨】</w:t>
      </w:r>
    </w:p>
    <w:p w14:paraId="63E14ED4" w14:textId="333B008B" w:rsidR="00485826" w:rsidRDefault="008A4BBD" w:rsidP="00B27FAD">
      <w:pPr>
        <w:jc w:val="left"/>
      </w:pPr>
      <w:r>
        <w:rPr>
          <w:rFonts w:hint="eastAsia"/>
        </w:rPr>
        <w:t xml:space="preserve">　内政において、災害対応体制を強化するための委員会が設置されることが発表された。さらに、クラレンドンにて8人死者を出した大量殺人事件が発生し、14日には、情報提供の懸賞金をして2500万ドルが提示され、緊急事態宣言</w:t>
      </w:r>
      <w:r w:rsidR="00485826">
        <w:rPr>
          <w:rFonts w:hint="eastAsia"/>
        </w:rPr>
        <w:t>（ＳＯＥ）</w:t>
      </w:r>
      <w:r>
        <w:rPr>
          <w:rFonts w:hint="eastAsia"/>
        </w:rPr>
        <w:t>も発令された。外交においては、ナイジェル・クラーク財務</w:t>
      </w:r>
      <w:r w:rsidR="00CC61CB">
        <w:rPr>
          <w:rFonts w:hint="eastAsia"/>
        </w:rPr>
        <w:t>・公共サービス</w:t>
      </w:r>
      <w:r>
        <w:rPr>
          <w:rFonts w:hint="eastAsia"/>
        </w:rPr>
        <w:t>大臣</w:t>
      </w:r>
      <w:r w:rsidR="00485826">
        <w:rPr>
          <w:rFonts w:hint="eastAsia"/>
        </w:rPr>
        <w:t>の国際通貨基金（ＩＭＦ）の副専務理事への就任が発表された。また、米国の渡航勧告が改訂されたことにより、ジャマイカへの旅行者に対して、安全性と体験の質について安心感を与えることとなった。</w:t>
      </w:r>
    </w:p>
    <w:p w14:paraId="4EE0B624" w14:textId="77777777" w:rsidR="00481423" w:rsidRDefault="00481423" w:rsidP="00B27FAD">
      <w:pPr>
        <w:jc w:val="left"/>
      </w:pPr>
    </w:p>
    <w:p w14:paraId="4C5E42D1" w14:textId="0730094C" w:rsidR="002A4B6E" w:rsidRDefault="002A4B6E" w:rsidP="00110C33">
      <w:pPr>
        <w:pStyle w:val="a3"/>
        <w:numPr>
          <w:ilvl w:val="0"/>
          <w:numId w:val="13"/>
        </w:numPr>
        <w:ind w:leftChars="0"/>
        <w:jc w:val="left"/>
      </w:pPr>
      <w:r>
        <w:rPr>
          <w:rFonts w:hint="eastAsia"/>
        </w:rPr>
        <w:t>内政</w:t>
      </w:r>
    </w:p>
    <w:p w14:paraId="052AC43B" w14:textId="5ECB36E0" w:rsidR="00F9358A" w:rsidRDefault="00F9358A" w:rsidP="00F9358A">
      <w:pPr>
        <w:pStyle w:val="a3"/>
        <w:numPr>
          <w:ilvl w:val="0"/>
          <w:numId w:val="10"/>
        </w:numPr>
        <w:ind w:leftChars="0"/>
        <w:jc w:val="left"/>
      </w:pPr>
      <w:r w:rsidRPr="00F9358A">
        <w:rPr>
          <w:rFonts w:hint="eastAsia"/>
        </w:rPr>
        <w:t>災害対策委員会の設立</w:t>
      </w:r>
    </w:p>
    <w:p w14:paraId="2058B0F6" w14:textId="7D1A741B" w:rsidR="00F9358A" w:rsidRPr="00F9358A" w:rsidRDefault="00F9358A" w:rsidP="00F9358A">
      <w:pPr>
        <w:pStyle w:val="a3"/>
        <w:ind w:leftChars="0" w:left="865"/>
        <w:jc w:val="left"/>
      </w:pPr>
      <w:r w:rsidRPr="00F9358A">
        <w:rPr>
          <w:rFonts w:hint="eastAsia"/>
        </w:rPr>
        <w:t>アンドリュー・ホルネス首相は、ジャマイカの災害対応体制を強化するための対策を提言する委員会がまもなく設立されると述べた。ホルネス首相は、政府がハリケーン・ベリル復興支援のために</w:t>
      </w:r>
      <w:r w:rsidRPr="00F9358A">
        <w:t>50億ドル以上を確保していることを国民に伝えた。一方メッセージの中で、ますます強力になるであろう暴風雨</w:t>
      </w:r>
      <w:r w:rsidR="008A4BBD">
        <w:rPr>
          <w:rFonts w:hint="eastAsia"/>
        </w:rPr>
        <w:t>等</w:t>
      </w:r>
      <w:r w:rsidRPr="00F9358A">
        <w:t>、気候変動が島国に与える影響について注意を促した。首相は、政府は潜在的な影響に耐えるための国の回復力を高めてきたと述べた。</w:t>
      </w:r>
      <w:r>
        <w:rPr>
          <w:rFonts w:hint="eastAsia"/>
        </w:rPr>
        <w:t>（7日付　ネイションワイド</w:t>
      </w:r>
      <w:r w:rsidR="00C94662">
        <w:rPr>
          <w:rFonts w:hint="eastAsia"/>
        </w:rPr>
        <w:t>・</w:t>
      </w:r>
      <w:r>
        <w:rPr>
          <w:rFonts w:hint="eastAsia"/>
        </w:rPr>
        <w:t>ニュースネットワーク）</w:t>
      </w:r>
    </w:p>
    <w:p w14:paraId="785B8C13" w14:textId="77777777" w:rsidR="004144C1" w:rsidRDefault="00F9358A" w:rsidP="00F9358A">
      <w:pPr>
        <w:pStyle w:val="a3"/>
        <w:numPr>
          <w:ilvl w:val="0"/>
          <w:numId w:val="10"/>
        </w:numPr>
        <w:ind w:leftChars="0"/>
        <w:jc w:val="left"/>
      </w:pPr>
      <w:r>
        <w:rPr>
          <w:rFonts w:hint="eastAsia"/>
        </w:rPr>
        <w:t>クラレンドン虐殺事件</w:t>
      </w:r>
      <w:r w:rsidR="004144C1">
        <w:rPr>
          <w:rFonts w:hint="eastAsia"/>
        </w:rPr>
        <w:t>：2500万ドルの懸賞金が提示される</w:t>
      </w:r>
    </w:p>
    <w:p w14:paraId="5D34A415" w14:textId="23F27555" w:rsidR="00F9358A" w:rsidRDefault="004144C1" w:rsidP="004144C1">
      <w:pPr>
        <w:pStyle w:val="a3"/>
        <w:ind w:leftChars="0" w:left="865"/>
        <w:jc w:val="left"/>
      </w:pPr>
      <w:r>
        <w:rPr>
          <w:rFonts w:hint="eastAsia"/>
        </w:rPr>
        <w:t>非常事態宣言の発令も</w:t>
      </w:r>
    </w:p>
    <w:p w14:paraId="010AE36A" w14:textId="65E11A27" w:rsidR="00E11097" w:rsidRDefault="004144C1" w:rsidP="00C94662">
      <w:pPr>
        <w:pStyle w:val="a3"/>
        <w:jc w:val="left"/>
      </w:pPr>
      <w:r>
        <w:t>14日の水曜日、ジャマイカ政府は、</w:t>
      </w:r>
      <w:r w:rsidR="008A4BBD">
        <w:rPr>
          <w:rFonts w:hint="eastAsia"/>
        </w:rPr>
        <w:t>12日に発生し、</w:t>
      </w:r>
      <w:r>
        <w:t>8人</w:t>
      </w:r>
      <w:r w:rsidR="008A4BBD">
        <w:rPr>
          <w:rFonts w:hint="eastAsia"/>
        </w:rPr>
        <w:t>の死者を出した</w:t>
      </w:r>
      <w:r>
        <w:t>クラレンドンでの大量殺人事件の首謀者の逮捕と有罪判決につながる有力な情報に対して、2500万ジャマイカドルの</w:t>
      </w:r>
      <w:r w:rsidR="008A4BBD">
        <w:rPr>
          <w:rFonts w:hint="eastAsia"/>
        </w:rPr>
        <w:t>懸賞金</w:t>
      </w:r>
      <w:r>
        <w:t>を提示した。これは</w:t>
      </w:r>
      <w:r w:rsidR="008A4BBD">
        <w:rPr>
          <w:rFonts w:hint="eastAsia"/>
        </w:rPr>
        <w:t>ジャマイカ</w:t>
      </w:r>
      <w:r>
        <w:t>史上最大の懸賞金となる。ジャマイカ・ハウスで演説したアンドリュー・ホルネス首相は、2500万ジャマイカドルの基金は捜査のペースを早めるために設立されたと述べた。</w:t>
      </w:r>
      <w:r>
        <w:rPr>
          <w:rFonts w:hint="eastAsia"/>
        </w:rPr>
        <w:t>クラレンドンでの虐殺事件を受けて、非常事態宣言も発令された。ホイレス・チャン国家安全保障大臣は記者会見で</w:t>
      </w:r>
      <w:r w:rsidR="00C94662">
        <w:rPr>
          <w:rFonts w:hint="eastAsia"/>
        </w:rPr>
        <w:t>同発令</w:t>
      </w:r>
      <w:r>
        <w:rPr>
          <w:rFonts w:hint="eastAsia"/>
        </w:rPr>
        <w:t>を発表</w:t>
      </w:r>
      <w:r w:rsidR="00C94662">
        <w:rPr>
          <w:rFonts w:hint="eastAsia"/>
        </w:rPr>
        <w:t>。この宣言は、</w:t>
      </w:r>
      <w:r>
        <w:rPr>
          <w:rFonts w:hint="eastAsia"/>
        </w:rPr>
        <w:t>憲法の規定に従い、</w:t>
      </w:r>
      <w:r>
        <w:t>14日間有効とな</w:t>
      </w:r>
      <w:r w:rsidR="00C94662">
        <w:rPr>
          <w:rFonts w:hint="eastAsia"/>
        </w:rPr>
        <w:t>り、</w:t>
      </w:r>
      <w:r>
        <w:t>延長する場合は、議会の承認が必要となる。チャン大臣は、この措置を支持する理由として、報復</w:t>
      </w:r>
      <w:r>
        <w:rPr>
          <w:rFonts w:hint="eastAsia"/>
        </w:rPr>
        <w:t>を防止し、</w:t>
      </w:r>
      <w:r>
        <w:t>報復へ対抗</w:t>
      </w:r>
      <w:r>
        <w:rPr>
          <w:rFonts w:hint="eastAsia"/>
        </w:rPr>
        <w:t>することが極めて</w:t>
      </w:r>
      <w:r>
        <w:t>重要であると述べた。</w:t>
      </w:r>
      <w:r w:rsidR="004A0C47">
        <w:rPr>
          <w:rFonts w:hint="eastAsia"/>
        </w:rPr>
        <w:t>（14日付　ＲＪＲオンラインニュース）</w:t>
      </w:r>
    </w:p>
    <w:p w14:paraId="6EABD48E" w14:textId="77777777" w:rsidR="00110C33" w:rsidRDefault="00110C33" w:rsidP="00110C33">
      <w:pPr>
        <w:pStyle w:val="a3"/>
        <w:jc w:val="left"/>
      </w:pPr>
    </w:p>
    <w:p w14:paraId="22306342" w14:textId="77777777" w:rsidR="00C94662" w:rsidRDefault="00C94662" w:rsidP="00110C33">
      <w:pPr>
        <w:pStyle w:val="a3"/>
        <w:jc w:val="left"/>
      </w:pPr>
    </w:p>
    <w:p w14:paraId="3BCEBE6F" w14:textId="77777777" w:rsidR="00C94662" w:rsidRDefault="00C94662" w:rsidP="00110C33">
      <w:pPr>
        <w:pStyle w:val="a3"/>
        <w:jc w:val="left"/>
      </w:pPr>
    </w:p>
    <w:p w14:paraId="4E6F0D27" w14:textId="77777777" w:rsidR="00C94662" w:rsidRDefault="00C94662" w:rsidP="00110C33">
      <w:pPr>
        <w:pStyle w:val="a3"/>
        <w:jc w:val="left"/>
      </w:pPr>
    </w:p>
    <w:p w14:paraId="547DFFFD" w14:textId="77777777" w:rsidR="00CC61CB" w:rsidRPr="006F2F53" w:rsidRDefault="00CC61CB" w:rsidP="00110C33">
      <w:pPr>
        <w:pStyle w:val="a3"/>
        <w:jc w:val="left"/>
        <w:rPr>
          <w:rFonts w:hint="eastAsia"/>
        </w:rPr>
      </w:pPr>
    </w:p>
    <w:p w14:paraId="093BD7CC" w14:textId="52D4B7C5" w:rsidR="000067A4" w:rsidRDefault="000067A4" w:rsidP="00110C33">
      <w:pPr>
        <w:pStyle w:val="a3"/>
        <w:numPr>
          <w:ilvl w:val="0"/>
          <w:numId w:val="13"/>
        </w:numPr>
        <w:ind w:leftChars="0"/>
      </w:pPr>
      <w:r>
        <w:rPr>
          <w:rFonts w:hint="eastAsia"/>
        </w:rPr>
        <w:lastRenderedPageBreak/>
        <w:t>外交</w:t>
      </w:r>
    </w:p>
    <w:p w14:paraId="0F3D7B53" w14:textId="77777777" w:rsidR="009324AD" w:rsidRDefault="009324AD" w:rsidP="009324AD">
      <w:pPr>
        <w:pStyle w:val="a3"/>
        <w:numPr>
          <w:ilvl w:val="0"/>
          <w:numId w:val="11"/>
        </w:numPr>
        <w:ind w:leftChars="0"/>
      </w:pPr>
      <w:r>
        <w:rPr>
          <w:rFonts w:hint="eastAsia"/>
        </w:rPr>
        <w:t>クラーク財務大臣の</w:t>
      </w:r>
      <w:r>
        <w:t>IMFへの転職　新財務大臣の指名</w:t>
      </w:r>
    </w:p>
    <w:p w14:paraId="7140D53B" w14:textId="245D612D" w:rsidR="00C9427D" w:rsidRDefault="00C9427D" w:rsidP="00C9427D">
      <w:pPr>
        <w:pStyle w:val="a3"/>
        <w:ind w:leftChars="0" w:left="865"/>
      </w:pPr>
      <w:r>
        <w:rPr>
          <w:rFonts w:hint="eastAsia"/>
        </w:rPr>
        <w:t>アンドリュー・ホネス首相は、ナイジェル・クラーク</w:t>
      </w:r>
      <w:r w:rsidR="00CC61CB">
        <w:rPr>
          <w:rFonts w:hint="eastAsia"/>
        </w:rPr>
        <w:t>財務・公共サービス</w:t>
      </w:r>
      <w:r>
        <w:rPr>
          <w:rFonts w:hint="eastAsia"/>
        </w:rPr>
        <w:t>大臣が</w:t>
      </w:r>
      <w:r>
        <w:t>10月に国際通貨基金（IMF）の副専務理事に就任することが発表されたことを受け、</w:t>
      </w:r>
      <w:r w:rsidR="00C94662">
        <w:rPr>
          <w:rFonts w:hint="eastAsia"/>
        </w:rPr>
        <w:t>次の</w:t>
      </w:r>
      <w:r>
        <w:t>財務大臣</w:t>
      </w:r>
      <w:r w:rsidR="00C94662">
        <w:rPr>
          <w:rFonts w:hint="eastAsia"/>
        </w:rPr>
        <w:t>となる者を</w:t>
      </w:r>
      <w:r>
        <w:t>指名したと述べた。ホルネス首相は次期財務大臣の氏名を明らかにしなかったが、ナイジェル・クラーク大臣の後継者が</w:t>
      </w:r>
      <w:r>
        <w:rPr>
          <w:rFonts w:hint="eastAsia"/>
        </w:rPr>
        <w:t>指名されて</w:t>
      </w:r>
      <w:r w:rsidR="00C94662">
        <w:rPr>
          <w:rFonts w:hint="eastAsia"/>
        </w:rPr>
        <w:t>いることにより</w:t>
      </w:r>
      <w:r>
        <w:t>、円滑な移行が行われると宣言した。</w:t>
      </w:r>
    </w:p>
    <w:p w14:paraId="5F4132F1" w14:textId="216D0998" w:rsidR="00C9427D" w:rsidRDefault="00C9427D" w:rsidP="00C9427D">
      <w:pPr>
        <w:pStyle w:val="a3"/>
        <w:ind w:leftChars="0" w:left="865"/>
      </w:pPr>
      <w:r>
        <w:rPr>
          <w:rFonts w:hint="eastAsia"/>
        </w:rPr>
        <w:t>さらに、今後、順次最新情報が提供される予定であり、政策の継続性と経済的実績の継続が期待できると述べた。ホルネス首相はクラーク氏を祝福し、これは歴史的かつ重要な出来事であり、ジャマイカ、カリブ海、中米の市民が</w:t>
      </w:r>
      <w:r>
        <w:t>IMFでこのレベルの職務に就いたことは、80年の歴史の中でこれまで一度もなかったと述べ、大きな誇りを感じていると語</w:t>
      </w:r>
      <w:r w:rsidR="00C94662">
        <w:rPr>
          <w:rFonts w:hint="eastAsia"/>
        </w:rPr>
        <w:t>っ</w:t>
      </w:r>
      <w:r>
        <w:t>た。</w:t>
      </w:r>
      <w:r>
        <w:rPr>
          <w:rFonts w:hint="eastAsia"/>
        </w:rPr>
        <w:t>また、</w:t>
      </w:r>
      <w:r>
        <w:t>ジャマイカ国民の一人がこのような重要な国際的な地位に就くことは、ジャマイカとカリブ海地域にとって有益であると述べた。</w:t>
      </w:r>
      <w:r>
        <w:rPr>
          <w:rFonts w:hint="eastAsia"/>
        </w:rPr>
        <w:t>（26日付　グリーナー紙）</w:t>
      </w:r>
    </w:p>
    <w:p w14:paraId="73B7E7B4" w14:textId="77777777" w:rsidR="00C9427D" w:rsidRDefault="00C9427D" w:rsidP="00C9427D">
      <w:pPr>
        <w:pStyle w:val="a3"/>
        <w:ind w:leftChars="0" w:left="865"/>
      </w:pPr>
    </w:p>
    <w:p w14:paraId="6CA46AC8" w14:textId="77777777" w:rsidR="00C9427D" w:rsidRDefault="00C9427D" w:rsidP="00C9427D">
      <w:pPr>
        <w:pStyle w:val="a3"/>
        <w:numPr>
          <w:ilvl w:val="0"/>
          <w:numId w:val="11"/>
        </w:numPr>
        <w:ind w:leftChars="0"/>
      </w:pPr>
      <w:r w:rsidRPr="00C9427D">
        <w:rPr>
          <w:rFonts w:hint="eastAsia"/>
        </w:rPr>
        <w:t>米国の渡航勧告がジャマイカに有利に変化</w:t>
      </w:r>
    </w:p>
    <w:p w14:paraId="5088B25B" w14:textId="589DED7C" w:rsidR="00C9427D" w:rsidRDefault="00C9427D" w:rsidP="00C9427D">
      <w:pPr>
        <w:pStyle w:val="a3"/>
        <w:ind w:leftChars="0" w:left="865"/>
      </w:pPr>
      <w:r>
        <w:t>ジャマイカ</w:t>
      </w:r>
      <w:r w:rsidR="00110C33">
        <w:rPr>
          <w:rFonts w:hint="eastAsia"/>
        </w:rPr>
        <w:t>発展</w:t>
      </w:r>
      <w:r>
        <w:t>への取り組みは、米国国務省の</w:t>
      </w:r>
      <w:r w:rsidR="00C94662">
        <w:rPr>
          <w:rFonts w:hint="eastAsia"/>
        </w:rPr>
        <w:t>ジャマイカに対する</w:t>
      </w:r>
      <w:r>
        <w:t>渡航勧告の最新改訂にも反映されました。 微妙な差異ではあるものの、この改訂により、将来の</w:t>
      </w:r>
      <w:r w:rsidR="00C94662">
        <w:rPr>
          <w:rFonts w:hint="eastAsia"/>
        </w:rPr>
        <w:t>ジャマイカへの</w:t>
      </w:r>
      <w:r>
        <w:t>旅行者に対して、その安全性と体験の質について安心感を与えることになる。ジャマイカの公共部門と民間部門の関係者は、</w:t>
      </w:r>
      <w:r w:rsidR="00CC61CB">
        <w:rPr>
          <w:rFonts w:hint="eastAsia"/>
        </w:rPr>
        <w:t>ジャマイカ</w:t>
      </w:r>
      <w:r>
        <w:t>を訪れる観光客に、よりバランスのとれた説明を行うために熱心に取り組んできた。観光客の42%がリピーターであるジャマイカは、カリブ海諸国の中で最もリピーター率の高い国である。観光省と国家安全保障省は、観光客に対する犯罪発生率が0.01%以下と非常に低いことを示す説得力のあるデータに加え、重大犯罪の発生率が大幅に減少していることも示した。ジャマイカでは2023年に犯罪発生率が7%減少し、23年ぶりに犯罪発生率が最低値を記録した。2024年も継続的な努力の結果、重大犯罪はさらに14.9%減少した。</w:t>
      </w:r>
    </w:p>
    <w:p w14:paraId="4D133192" w14:textId="597A37FD" w:rsidR="00E11097" w:rsidRDefault="008A4BBD" w:rsidP="00E11097">
      <w:pPr>
        <w:pStyle w:val="a3"/>
        <w:ind w:leftChars="0" w:left="880"/>
      </w:pPr>
      <w:r>
        <w:rPr>
          <w:rFonts w:hint="eastAsia"/>
        </w:rPr>
        <w:t>（26日付　オブザーバー紙）</w:t>
      </w:r>
    </w:p>
    <w:p w14:paraId="3716607C" w14:textId="77777777" w:rsidR="008A64CE" w:rsidRDefault="008A64CE" w:rsidP="00E11097">
      <w:pPr>
        <w:pStyle w:val="a3"/>
        <w:ind w:leftChars="0" w:left="880"/>
      </w:pPr>
    </w:p>
    <w:sectPr w:rsidR="008A64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3044" w14:textId="77777777" w:rsidR="00F9358A" w:rsidRDefault="00F9358A" w:rsidP="00F9358A">
      <w:r>
        <w:separator/>
      </w:r>
    </w:p>
  </w:endnote>
  <w:endnote w:type="continuationSeparator" w:id="0">
    <w:p w14:paraId="32F33C51" w14:textId="77777777" w:rsidR="00F9358A" w:rsidRDefault="00F9358A" w:rsidP="00F9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015C" w14:textId="77777777" w:rsidR="00F9358A" w:rsidRDefault="00F9358A" w:rsidP="00F9358A">
      <w:r>
        <w:separator/>
      </w:r>
    </w:p>
  </w:footnote>
  <w:footnote w:type="continuationSeparator" w:id="0">
    <w:p w14:paraId="7EBBE7BE" w14:textId="77777777" w:rsidR="00F9358A" w:rsidRDefault="00F9358A" w:rsidP="00F93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ADB"/>
    <w:multiLevelType w:val="hybridMultilevel"/>
    <w:tmpl w:val="BE403730"/>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 w15:restartNumberingAfterBreak="0">
    <w:nsid w:val="0AA81268"/>
    <w:multiLevelType w:val="hybridMultilevel"/>
    <w:tmpl w:val="95DA75BC"/>
    <w:lvl w:ilvl="0" w:tplc="FFFFFFFF">
      <w:start w:val="1"/>
      <w:numFmt w:val="decimal"/>
      <w:lvlText w:val="(%1)"/>
      <w:lvlJc w:val="left"/>
      <w:pPr>
        <w:ind w:left="865" w:hanging="440"/>
      </w:pPr>
      <w:rPr>
        <w:rFonts w:hint="eastAsia"/>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2" w15:restartNumberingAfterBreak="0">
    <w:nsid w:val="0B1E2E0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F8C6608"/>
    <w:multiLevelType w:val="hybridMultilevel"/>
    <w:tmpl w:val="2124EEA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ED06A4"/>
    <w:multiLevelType w:val="hybridMultilevel"/>
    <w:tmpl w:val="95DA75BC"/>
    <w:lvl w:ilvl="0" w:tplc="2B7C82DA">
      <w:start w:val="1"/>
      <w:numFmt w:val="decimal"/>
      <w:lvlText w:val="(%1)"/>
      <w:lvlJc w:val="left"/>
      <w:pPr>
        <w:ind w:left="865" w:hanging="44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5" w15:restartNumberingAfterBreak="0">
    <w:nsid w:val="33C96864"/>
    <w:multiLevelType w:val="hybridMultilevel"/>
    <w:tmpl w:val="192E498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40E14236"/>
    <w:multiLevelType w:val="hybridMultilevel"/>
    <w:tmpl w:val="8CCE5A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70F3D39"/>
    <w:multiLevelType w:val="hybridMultilevel"/>
    <w:tmpl w:val="702A9E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0A0531F"/>
    <w:multiLevelType w:val="hybridMultilevel"/>
    <w:tmpl w:val="5C6622E0"/>
    <w:lvl w:ilvl="0" w:tplc="2B7C82DA">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62D023E6"/>
    <w:multiLevelType w:val="hybridMultilevel"/>
    <w:tmpl w:val="651ECF16"/>
    <w:lvl w:ilvl="0" w:tplc="2B7C82DA">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68B40A48"/>
    <w:multiLevelType w:val="hybridMultilevel"/>
    <w:tmpl w:val="5C6622E0"/>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1" w15:restartNumberingAfterBreak="0">
    <w:nsid w:val="6BD103F0"/>
    <w:multiLevelType w:val="hybridMultilevel"/>
    <w:tmpl w:val="651ECF1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2" w15:restartNumberingAfterBreak="0">
    <w:nsid w:val="6F694F72"/>
    <w:multiLevelType w:val="hybridMultilevel"/>
    <w:tmpl w:val="04F21E18"/>
    <w:lvl w:ilvl="0" w:tplc="2B7C82D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68841147">
    <w:abstractNumId w:val="3"/>
  </w:num>
  <w:num w:numId="2" w16cid:durableId="1563903248">
    <w:abstractNumId w:val="7"/>
  </w:num>
  <w:num w:numId="3" w16cid:durableId="1235241773">
    <w:abstractNumId w:val="8"/>
  </w:num>
  <w:num w:numId="4" w16cid:durableId="1184512563">
    <w:abstractNumId w:val="0"/>
  </w:num>
  <w:num w:numId="5" w16cid:durableId="550116972">
    <w:abstractNumId w:val="10"/>
  </w:num>
  <w:num w:numId="6" w16cid:durableId="1701859325">
    <w:abstractNumId w:val="12"/>
  </w:num>
  <w:num w:numId="7" w16cid:durableId="1998413202">
    <w:abstractNumId w:val="9"/>
  </w:num>
  <w:num w:numId="8" w16cid:durableId="1019046333">
    <w:abstractNumId w:val="11"/>
  </w:num>
  <w:num w:numId="9" w16cid:durableId="813717469">
    <w:abstractNumId w:val="2"/>
  </w:num>
  <w:num w:numId="10" w16cid:durableId="1654024700">
    <w:abstractNumId w:val="4"/>
  </w:num>
  <w:num w:numId="11" w16cid:durableId="1441412631">
    <w:abstractNumId w:val="1"/>
  </w:num>
  <w:num w:numId="12" w16cid:durableId="1990281181">
    <w:abstractNumId w:val="5"/>
  </w:num>
  <w:num w:numId="13" w16cid:durableId="430586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FF"/>
    <w:rsid w:val="000067A4"/>
    <w:rsid w:val="000421D3"/>
    <w:rsid w:val="000A647E"/>
    <w:rsid w:val="000B5ED7"/>
    <w:rsid w:val="00110C33"/>
    <w:rsid w:val="002A4B6E"/>
    <w:rsid w:val="002C4F54"/>
    <w:rsid w:val="00347B99"/>
    <w:rsid w:val="004144C1"/>
    <w:rsid w:val="00430B01"/>
    <w:rsid w:val="00481423"/>
    <w:rsid w:val="00485826"/>
    <w:rsid w:val="004A0C47"/>
    <w:rsid w:val="005C3E01"/>
    <w:rsid w:val="005F100C"/>
    <w:rsid w:val="006676DF"/>
    <w:rsid w:val="006A4CFF"/>
    <w:rsid w:val="006F2F53"/>
    <w:rsid w:val="00710DA8"/>
    <w:rsid w:val="008058D7"/>
    <w:rsid w:val="00884188"/>
    <w:rsid w:val="008A4BBD"/>
    <w:rsid w:val="008A64CE"/>
    <w:rsid w:val="009324AD"/>
    <w:rsid w:val="00991745"/>
    <w:rsid w:val="009C05B0"/>
    <w:rsid w:val="00A24C32"/>
    <w:rsid w:val="00A377B8"/>
    <w:rsid w:val="00B27FAD"/>
    <w:rsid w:val="00B60505"/>
    <w:rsid w:val="00C62727"/>
    <w:rsid w:val="00C9427D"/>
    <w:rsid w:val="00C94662"/>
    <w:rsid w:val="00CC61CB"/>
    <w:rsid w:val="00E11097"/>
    <w:rsid w:val="00F86DC8"/>
    <w:rsid w:val="00F9358A"/>
    <w:rsid w:val="00FE3655"/>
    <w:rsid w:val="00FF0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2C778C"/>
  <w15:chartTrackingRefBased/>
  <w15:docId w15:val="{F60E2404-5116-40DB-BF2F-DAFD0948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CFF"/>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CFF"/>
    <w:pPr>
      <w:ind w:leftChars="400" w:left="840"/>
    </w:pPr>
  </w:style>
  <w:style w:type="paragraph" w:styleId="a4">
    <w:name w:val="header"/>
    <w:basedOn w:val="a"/>
    <w:link w:val="a5"/>
    <w:uiPriority w:val="99"/>
    <w:unhideWhenUsed/>
    <w:rsid w:val="00F9358A"/>
    <w:pPr>
      <w:tabs>
        <w:tab w:val="center" w:pos="4252"/>
        <w:tab w:val="right" w:pos="8504"/>
      </w:tabs>
      <w:snapToGrid w:val="0"/>
    </w:pPr>
  </w:style>
  <w:style w:type="character" w:customStyle="1" w:styleId="a5">
    <w:name w:val="ヘッダー (文字)"/>
    <w:basedOn w:val="a0"/>
    <w:link w:val="a4"/>
    <w:uiPriority w:val="99"/>
    <w:rsid w:val="00F9358A"/>
    <w:rPr>
      <w:rFonts w:ascii="ＭＳ 明朝" w:eastAsia="ＭＳ 明朝" w:hAnsi="ＭＳ 明朝"/>
    </w:rPr>
  </w:style>
  <w:style w:type="paragraph" w:styleId="a6">
    <w:name w:val="footer"/>
    <w:basedOn w:val="a"/>
    <w:link w:val="a7"/>
    <w:uiPriority w:val="99"/>
    <w:unhideWhenUsed/>
    <w:rsid w:val="00F9358A"/>
    <w:pPr>
      <w:tabs>
        <w:tab w:val="center" w:pos="4252"/>
        <w:tab w:val="right" w:pos="8504"/>
      </w:tabs>
      <w:snapToGrid w:val="0"/>
    </w:pPr>
  </w:style>
  <w:style w:type="character" w:customStyle="1" w:styleId="a7">
    <w:name w:val="フッター (文字)"/>
    <w:basedOn w:val="a0"/>
    <w:link w:val="a6"/>
    <w:uiPriority w:val="99"/>
    <w:rsid w:val="00F9358A"/>
    <w:rPr>
      <w:rFonts w:ascii="ＭＳ 明朝" w:eastAsia="ＭＳ 明朝" w:hAnsi="ＭＳ 明朝"/>
    </w:rPr>
  </w:style>
  <w:style w:type="paragraph" w:styleId="Web">
    <w:name w:val="Normal (Web)"/>
    <w:basedOn w:val="a"/>
    <w:uiPriority w:val="99"/>
    <w:semiHidden/>
    <w:unhideWhenUsed/>
    <w:rsid w:val="00C942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726">
      <w:bodyDiv w:val="1"/>
      <w:marLeft w:val="0"/>
      <w:marRight w:val="0"/>
      <w:marTop w:val="0"/>
      <w:marBottom w:val="0"/>
      <w:divBdr>
        <w:top w:val="none" w:sz="0" w:space="0" w:color="auto"/>
        <w:left w:val="none" w:sz="0" w:space="0" w:color="auto"/>
        <w:bottom w:val="none" w:sz="0" w:space="0" w:color="auto"/>
        <w:right w:val="none" w:sz="0" w:space="0" w:color="auto"/>
      </w:divBdr>
    </w:div>
    <w:div w:id="231241108">
      <w:bodyDiv w:val="1"/>
      <w:marLeft w:val="0"/>
      <w:marRight w:val="0"/>
      <w:marTop w:val="0"/>
      <w:marBottom w:val="0"/>
      <w:divBdr>
        <w:top w:val="none" w:sz="0" w:space="0" w:color="auto"/>
        <w:left w:val="none" w:sz="0" w:space="0" w:color="auto"/>
        <w:bottom w:val="none" w:sz="0" w:space="0" w:color="auto"/>
        <w:right w:val="none" w:sz="0" w:space="0" w:color="auto"/>
      </w:divBdr>
    </w:div>
    <w:div w:id="263346298">
      <w:bodyDiv w:val="1"/>
      <w:marLeft w:val="0"/>
      <w:marRight w:val="0"/>
      <w:marTop w:val="0"/>
      <w:marBottom w:val="0"/>
      <w:divBdr>
        <w:top w:val="none" w:sz="0" w:space="0" w:color="auto"/>
        <w:left w:val="none" w:sz="0" w:space="0" w:color="auto"/>
        <w:bottom w:val="none" w:sz="0" w:space="0" w:color="auto"/>
        <w:right w:val="none" w:sz="0" w:space="0" w:color="auto"/>
      </w:divBdr>
    </w:div>
    <w:div w:id="355078796">
      <w:bodyDiv w:val="1"/>
      <w:marLeft w:val="0"/>
      <w:marRight w:val="0"/>
      <w:marTop w:val="0"/>
      <w:marBottom w:val="0"/>
      <w:divBdr>
        <w:top w:val="none" w:sz="0" w:space="0" w:color="auto"/>
        <w:left w:val="none" w:sz="0" w:space="0" w:color="auto"/>
        <w:bottom w:val="none" w:sz="0" w:space="0" w:color="auto"/>
        <w:right w:val="none" w:sz="0" w:space="0" w:color="auto"/>
      </w:divBdr>
    </w:div>
    <w:div w:id="459306613">
      <w:bodyDiv w:val="1"/>
      <w:marLeft w:val="0"/>
      <w:marRight w:val="0"/>
      <w:marTop w:val="0"/>
      <w:marBottom w:val="0"/>
      <w:divBdr>
        <w:top w:val="none" w:sz="0" w:space="0" w:color="auto"/>
        <w:left w:val="none" w:sz="0" w:space="0" w:color="auto"/>
        <w:bottom w:val="none" w:sz="0" w:space="0" w:color="auto"/>
        <w:right w:val="none" w:sz="0" w:space="0" w:color="auto"/>
      </w:divBdr>
    </w:div>
    <w:div w:id="497887731">
      <w:bodyDiv w:val="1"/>
      <w:marLeft w:val="0"/>
      <w:marRight w:val="0"/>
      <w:marTop w:val="0"/>
      <w:marBottom w:val="0"/>
      <w:divBdr>
        <w:top w:val="none" w:sz="0" w:space="0" w:color="auto"/>
        <w:left w:val="none" w:sz="0" w:space="0" w:color="auto"/>
        <w:bottom w:val="none" w:sz="0" w:space="0" w:color="auto"/>
        <w:right w:val="none" w:sz="0" w:space="0" w:color="auto"/>
      </w:divBdr>
    </w:div>
    <w:div w:id="575631076">
      <w:bodyDiv w:val="1"/>
      <w:marLeft w:val="0"/>
      <w:marRight w:val="0"/>
      <w:marTop w:val="0"/>
      <w:marBottom w:val="0"/>
      <w:divBdr>
        <w:top w:val="none" w:sz="0" w:space="0" w:color="auto"/>
        <w:left w:val="none" w:sz="0" w:space="0" w:color="auto"/>
        <w:bottom w:val="none" w:sz="0" w:space="0" w:color="auto"/>
        <w:right w:val="none" w:sz="0" w:space="0" w:color="auto"/>
      </w:divBdr>
    </w:div>
    <w:div w:id="678970679">
      <w:bodyDiv w:val="1"/>
      <w:marLeft w:val="0"/>
      <w:marRight w:val="0"/>
      <w:marTop w:val="0"/>
      <w:marBottom w:val="0"/>
      <w:divBdr>
        <w:top w:val="none" w:sz="0" w:space="0" w:color="auto"/>
        <w:left w:val="none" w:sz="0" w:space="0" w:color="auto"/>
        <w:bottom w:val="none" w:sz="0" w:space="0" w:color="auto"/>
        <w:right w:val="none" w:sz="0" w:space="0" w:color="auto"/>
      </w:divBdr>
    </w:div>
    <w:div w:id="800342117">
      <w:bodyDiv w:val="1"/>
      <w:marLeft w:val="0"/>
      <w:marRight w:val="0"/>
      <w:marTop w:val="0"/>
      <w:marBottom w:val="0"/>
      <w:divBdr>
        <w:top w:val="none" w:sz="0" w:space="0" w:color="auto"/>
        <w:left w:val="none" w:sz="0" w:space="0" w:color="auto"/>
        <w:bottom w:val="none" w:sz="0" w:space="0" w:color="auto"/>
        <w:right w:val="none" w:sz="0" w:space="0" w:color="auto"/>
      </w:divBdr>
    </w:div>
    <w:div w:id="1089037058">
      <w:bodyDiv w:val="1"/>
      <w:marLeft w:val="0"/>
      <w:marRight w:val="0"/>
      <w:marTop w:val="0"/>
      <w:marBottom w:val="0"/>
      <w:divBdr>
        <w:top w:val="none" w:sz="0" w:space="0" w:color="auto"/>
        <w:left w:val="none" w:sz="0" w:space="0" w:color="auto"/>
        <w:bottom w:val="none" w:sz="0" w:space="0" w:color="auto"/>
        <w:right w:val="none" w:sz="0" w:space="0" w:color="auto"/>
      </w:divBdr>
    </w:div>
    <w:div w:id="1568229140">
      <w:bodyDiv w:val="1"/>
      <w:marLeft w:val="0"/>
      <w:marRight w:val="0"/>
      <w:marTop w:val="0"/>
      <w:marBottom w:val="0"/>
      <w:divBdr>
        <w:top w:val="none" w:sz="0" w:space="0" w:color="auto"/>
        <w:left w:val="none" w:sz="0" w:space="0" w:color="auto"/>
        <w:bottom w:val="none" w:sz="0" w:space="0" w:color="auto"/>
        <w:right w:val="none" w:sz="0" w:space="0" w:color="auto"/>
      </w:divBdr>
    </w:div>
    <w:div w:id="1704938467">
      <w:bodyDiv w:val="1"/>
      <w:marLeft w:val="0"/>
      <w:marRight w:val="0"/>
      <w:marTop w:val="0"/>
      <w:marBottom w:val="0"/>
      <w:divBdr>
        <w:top w:val="none" w:sz="0" w:space="0" w:color="auto"/>
        <w:left w:val="none" w:sz="0" w:space="0" w:color="auto"/>
        <w:bottom w:val="none" w:sz="0" w:space="0" w:color="auto"/>
        <w:right w:val="none" w:sz="0" w:space="0" w:color="auto"/>
      </w:divBdr>
    </w:div>
    <w:div w:id="1763333729">
      <w:bodyDiv w:val="1"/>
      <w:marLeft w:val="0"/>
      <w:marRight w:val="0"/>
      <w:marTop w:val="0"/>
      <w:marBottom w:val="0"/>
      <w:divBdr>
        <w:top w:val="none" w:sz="0" w:space="0" w:color="auto"/>
        <w:left w:val="none" w:sz="0" w:space="0" w:color="auto"/>
        <w:bottom w:val="none" w:sz="0" w:space="0" w:color="auto"/>
        <w:right w:val="none" w:sz="0" w:space="0" w:color="auto"/>
      </w:divBdr>
    </w:div>
    <w:div w:id="1823038409">
      <w:bodyDiv w:val="1"/>
      <w:marLeft w:val="0"/>
      <w:marRight w:val="0"/>
      <w:marTop w:val="0"/>
      <w:marBottom w:val="0"/>
      <w:divBdr>
        <w:top w:val="none" w:sz="0" w:space="0" w:color="auto"/>
        <w:left w:val="none" w:sz="0" w:space="0" w:color="auto"/>
        <w:bottom w:val="none" w:sz="0" w:space="0" w:color="auto"/>
        <w:right w:val="none" w:sz="0" w:space="0" w:color="auto"/>
      </w:divBdr>
    </w:div>
    <w:div w:id="1841894873">
      <w:bodyDiv w:val="1"/>
      <w:marLeft w:val="0"/>
      <w:marRight w:val="0"/>
      <w:marTop w:val="0"/>
      <w:marBottom w:val="0"/>
      <w:divBdr>
        <w:top w:val="none" w:sz="0" w:space="0" w:color="auto"/>
        <w:left w:val="none" w:sz="0" w:space="0" w:color="auto"/>
        <w:bottom w:val="none" w:sz="0" w:space="0" w:color="auto"/>
        <w:right w:val="none" w:sz="0" w:space="0" w:color="auto"/>
      </w:divBdr>
    </w:div>
    <w:div w:id="2113895918">
      <w:bodyDiv w:val="1"/>
      <w:marLeft w:val="0"/>
      <w:marRight w:val="0"/>
      <w:marTop w:val="0"/>
      <w:marBottom w:val="0"/>
      <w:divBdr>
        <w:top w:val="none" w:sz="0" w:space="0" w:color="auto"/>
        <w:left w:val="none" w:sz="0" w:space="0" w:color="auto"/>
        <w:bottom w:val="none" w:sz="0" w:space="0" w:color="auto"/>
        <w:right w:val="none" w:sz="0" w:space="0" w:color="auto"/>
      </w:divBdr>
    </w:div>
    <w:div w:id="214626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265</Words>
  <Characters>1515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